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2A59" w14:textId="77777777" w:rsidR="0086378C" w:rsidRPr="0086378C" w:rsidRDefault="0086378C" w:rsidP="0086378C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54"/>
          <w:szCs w:val="54"/>
        </w:rPr>
      </w:pPr>
      <w:r w:rsidRPr="0086378C">
        <w:rPr>
          <w:rFonts w:ascii="Verdana" w:eastAsia="Times New Roman" w:hAnsi="Verdana" w:cs="Times New Roman"/>
          <w:color w:val="333333"/>
          <w:kern w:val="36"/>
          <w:sz w:val="54"/>
          <w:szCs w:val="54"/>
        </w:rPr>
        <w:t>12 CFR § 1026.13 - Billing error resolution.</w:t>
      </w:r>
    </w:p>
    <w:p w14:paraId="12DF780D" w14:textId="0F105FEA" w:rsidR="0086378C" w:rsidRDefault="0086378C"/>
    <w:p w14:paraId="20EF3BB4" w14:textId="77777777" w:rsidR="0086378C" w:rsidRPr="0086378C" w:rsidRDefault="0086378C" w:rsidP="008637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  <w:t>§ 1026.13 Billing error resolution.</w:t>
      </w:r>
    </w:p>
    <w:p w14:paraId="14D23D5D" w14:textId="77777777" w:rsidR="0086378C" w:rsidRPr="0086378C" w:rsidRDefault="0086378C" w:rsidP="008637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(a)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Definition of billing error.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For purposes of this section, the term billing error means:</w:t>
      </w:r>
    </w:p>
    <w:p w14:paraId="6088CB83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 reflection on or with a periodic statement of an extension of credit that is not made to the </w:t>
      </w:r>
      <w:hyperlink r:id="rId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to a </w:t>
      </w:r>
      <w:hyperlink r:id="rId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person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who has actual, implied, or apparent authority to use the </w:t>
      </w:r>
      <w:hyperlink r:id="rId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 </w:t>
      </w:r>
      <w:hyperlink r:id="rId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 card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 </w:t>
      </w:r>
      <w:hyperlink r:id="rId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open-end credit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plan.</w:t>
      </w:r>
    </w:p>
    <w:p w14:paraId="7AF4394D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 reflection on or with a periodic statement of an extension of credit that is not identified in accordance with the </w:t>
      </w:r>
      <w:hyperlink r:id="rId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requirements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 </w:t>
      </w:r>
      <w:hyperlink r:id="rId10" w:anchor="a_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§§ 1026.7(a)(2)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(b)(2), as applicable, and 1026.8.</w:t>
      </w:r>
    </w:p>
    <w:p w14:paraId="06474194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(3)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 reflection on or with a periodic statement of an extension of credit for property or services not accepted by the </w:t>
      </w:r>
      <w:hyperlink r:id="rId1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the </w:t>
      </w:r>
      <w:hyperlink r:id="rId1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designee, or not delivered to the </w:t>
      </w:r>
      <w:hyperlink r:id="rId1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the </w:t>
      </w:r>
      <w:hyperlink r:id="rId1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designee as agreed.</w:t>
      </w:r>
    </w:p>
    <w:p w14:paraId="76AB6EF4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(4)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 reflection on a periodic statement of the </w:t>
      </w:r>
      <w:hyperlink r:id="rId1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failure to credit properly a payment or other credit issued to the </w:t>
      </w:r>
      <w:hyperlink r:id="rId1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account.</w:t>
      </w:r>
    </w:p>
    <w:p w14:paraId="29CC7C94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(5)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 reflection on a periodic statement of a computational or similar error of an accounting nature that is made by the </w:t>
      </w:r>
      <w:hyperlink r:id="rId1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14:paraId="24D41003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(6)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 reflection on a periodic statement of an extension of credit for which the </w:t>
      </w:r>
      <w:hyperlink r:id="rId1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requests additional clarification, including documentary evidence.</w:t>
      </w:r>
    </w:p>
    <w:p w14:paraId="7676F92F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(7)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The </w:t>
      </w:r>
      <w:hyperlink r:id="rId1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failure to mail or deliver a periodic statement to the </w:t>
      </w:r>
      <w:hyperlink r:id="rId2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last known address if that address was received by the </w:t>
      </w:r>
      <w:hyperlink r:id="rId2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, in writing, at least 20 days before the end of the </w:t>
      </w:r>
      <w:hyperlink r:id="rId2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billing cycle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for which the statement was required.</w:t>
      </w:r>
    </w:p>
    <w:p w14:paraId="4D4285D2" w14:textId="77777777" w:rsidR="0086378C" w:rsidRPr="0086378C" w:rsidRDefault="0086378C" w:rsidP="008637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(b)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Billing error notice.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 billing error notice is a written notice from a </w:t>
      </w:r>
      <w:hyperlink r:id="rId2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that:</w:t>
      </w:r>
    </w:p>
    <w:p w14:paraId="0C14ABF9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Is received by a </w:t>
      </w:r>
      <w:hyperlink r:id="rId2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at the address disclosed under </w:t>
      </w:r>
      <w:hyperlink r:id="rId25" w:anchor="a_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§ 1026.7(a)(9)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(b)(9), as applicable, no later than 60 days after the </w:t>
      </w:r>
      <w:hyperlink r:id="rId2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transmitted the first periodic statement that reflects the alleged billing error;</w:t>
      </w:r>
    </w:p>
    <w:p w14:paraId="10162B67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lastRenderedPageBreak/>
        <w:t>(2)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Enables the </w:t>
      </w:r>
      <w:hyperlink r:id="rId2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to identify the </w:t>
      </w:r>
      <w:hyperlink r:id="rId2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name and account number; and</w:t>
      </w:r>
    </w:p>
    <w:p w14:paraId="3D8BCDE2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(3)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To the extent possible, indicates the </w:t>
      </w:r>
      <w:hyperlink r:id="rId2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belief and the reasons for the belief that a billing error exists, and the type, date, and </w:t>
      </w:r>
      <w:hyperlink r:id="rId3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the error.</w:t>
      </w:r>
    </w:p>
    <w:p w14:paraId="37662B2C" w14:textId="77777777" w:rsidR="0086378C" w:rsidRPr="0086378C" w:rsidRDefault="0086378C" w:rsidP="008637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(c)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Time for resolution; general procedures.</w:t>
      </w:r>
    </w:p>
    <w:p w14:paraId="6593092E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The </w:t>
      </w:r>
      <w:hyperlink r:id="rId3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shall mail or deliver written acknowledgment to the </w:t>
      </w:r>
      <w:hyperlink r:id="rId3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within 30 days of receiving a billing error notice, unless the </w:t>
      </w:r>
      <w:hyperlink r:id="rId3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has complied with the appropriate resolution procedures of paragraphs (e) and (f) of this section, as applicable, within the 30-day period; and</w:t>
      </w:r>
    </w:p>
    <w:p w14:paraId="54D40D84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The </w:t>
      </w:r>
      <w:hyperlink r:id="rId3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shall comply with the appropriate resolution procedures of paragraphs (e) and (f) of this section, as applicable, within 2 complete </w:t>
      </w:r>
      <w:hyperlink r:id="rId3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billing cycles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(but in no event later than 90 days) after receiving a billing error notice.</w:t>
      </w:r>
    </w:p>
    <w:p w14:paraId="661758B1" w14:textId="77777777" w:rsidR="0086378C" w:rsidRPr="0086378C" w:rsidRDefault="0086378C" w:rsidP="008637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(d)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Rules pending resolution.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Until a billing error is resolved under paragraph (e) or (f) of this section, the following rules apply:</w:t>
      </w:r>
    </w:p>
    <w:p w14:paraId="28B2730A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Consumer's right to withhold disputed amount; collection action prohibited.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The </w:t>
      </w:r>
      <w:hyperlink r:id="rId3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need not pay (and the </w:t>
      </w:r>
      <w:hyperlink r:id="rId3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may not try to collect) any portion of any required payment that the </w:t>
      </w:r>
      <w:hyperlink r:id="rId3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believes is related to the disputed </w:t>
      </w:r>
      <w:hyperlink r:id="rId3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(including related finance or other charges). If the </w:t>
      </w:r>
      <w:hyperlink r:id="rId4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cardholder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has enrolled in an automatic payment plan offered by the card issuer and has agreed to pay the </w:t>
      </w:r>
      <w:hyperlink r:id="rId4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 card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indebtedness by periodic deductions from the </w:t>
      </w:r>
      <w:hyperlink r:id="rId4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cardholder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deposit account, the card issuer shall not deduct any part of the disputed </w:t>
      </w:r>
      <w:hyperlink r:id="rId4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related finance or other charges if a billing error notice is received any time up to 3 </w:t>
      </w:r>
      <w:hyperlink r:id="rId4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business days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before the scheduled payment date.</w:t>
      </w:r>
    </w:p>
    <w:p w14:paraId="60F42052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Adverse credit reports prohibited.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The </w:t>
      </w:r>
      <w:hyperlink r:id="rId4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its agent shall not (directly or indirectly) make or threaten to make an adverse report to any </w:t>
      </w:r>
      <w:hyperlink r:id="rId4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person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about the </w:t>
      </w:r>
      <w:hyperlink r:id="rId4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credit standing, or report that an </w:t>
      </w:r>
      <w:hyperlink r:id="rId4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account is delinquent, because the </w:t>
      </w:r>
      <w:hyperlink r:id="rId4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failed to pay the disputed </w:t>
      </w:r>
      <w:hyperlink r:id="rId5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related finance or other charges.</w:t>
      </w:r>
    </w:p>
    <w:p w14:paraId="1088D3E4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(3)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Acceleration of debt and restriction of account prohibited.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 </w:t>
      </w:r>
      <w:hyperlink r:id="rId5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shall not accelerate any part of the </w:t>
      </w:r>
      <w:hyperlink r:id="rId5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indebtedness or restrict or close a </w:t>
      </w:r>
      <w:hyperlink r:id="rId5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account solely because the </w:t>
      </w:r>
      <w:hyperlink r:id="rId5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has exercised in good faith rights provided by this section. A </w:t>
      </w:r>
      <w:hyperlink r:id="rId5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may be subject to the forfeiture penalty under </w:t>
      </w:r>
      <w:hyperlink r:id="rId56" w:anchor="e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15 U.S.C. 1666(e)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for failure to comply with any of the </w:t>
      </w:r>
      <w:hyperlink r:id="rId5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requirements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this section.</w:t>
      </w:r>
    </w:p>
    <w:p w14:paraId="6C358D18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lastRenderedPageBreak/>
        <w:t>(4)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Permitted creditor actions.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 </w:t>
      </w:r>
      <w:hyperlink r:id="rId5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is not prohibited from taking action to collect any undisputed portion of the item or bill; from deducting any disputed </w:t>
      </w:r>
      <w:hyperlink r:id="rId5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and related finance or other charges from the </w:t>
      </w:r>
      <w:hyperlink r:id="rId6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credit limit on the account; or from reflecting a disputed </w:t>
      </w:r>
      <w:hyperlink r:id="rId6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and related finance or other charges on a periodic statement, provided that the </w:t>
      </w:r>
      <w:hyperlink r:id="rId6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indicates on or with the periodic statement that payment of any disputed </w:t>
      </w:r>
      <w:hyperlink r:id="rId6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and related finance or other charges is not required pending the </w:t>
      </w:r>
      <w:hyperlink r:id="rId6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compliance with this section.</w:t>
      </w:r>
    </w:p>
    <w:p w14:paraId="5D72C58E" w14:textId="77777777" w:rsidR="0086378C" w:rsidRPr="0086378C" w:rsidRDefault="0086378C" w:rsidP="008637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(e)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Procedures if billing error occurred as asserted.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If a </w:t>
      </w:r>
      <w:hyperlink r:id="rId6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determines that a billing error occurred as asserted, it shall within the time limits in </w:t>
      </w:r>
      <w:hyperlink r:id="rId66" w:anchor="c_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paragraph (c)(2)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this section:</w:t>
      </w:r>
    </w:p>
    <w:p w14:paraId="1711D1E6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Correct the billing error and credit the </w:t>
      </w:r>
      <w:hyperlink r:id="rId6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account with any disputed </w:t>
      </w:r>
      <w:hyperlink r:id="rId6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and related finance or other charges, as applicable; and</w:t>
      </w:r>
    </w:p>
    <w:p w14:paraId="21AE1AF4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Mail or deliver a correction notice to the </w:t>
      </w:r>
      <w:hyperlink r:id="rId6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14:paraId="2F4CD789" w14:textId="77777777" w:rsidR="0086378C" w:rsidRPr="0086378C" w:rsidRDefault="0086378C" w:rsidP="008637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(f)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Procedures if different billing error or no billing error occurred.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If, after conducting a reasonable investigation, a </w:t>
      </w:r>
      <w:hyperlink r:id="rId7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determines that no billing error occurred or that a different billing error occurred from that asserted, the </w:t>
      </w:r>
      <w:hyperlink r:id="rId7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shall within the time limits in </w:t>
      </w:r>
      <w:hyperlink r:id="rId72" w:anchor="c_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paragraph (c)(2)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this section:</w:t>
      </w:r>
    </w:p>
    <w:p w14:paraId="31F574E4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Mail or deliver to the </w:t>
      </w:r>
      <w:hyperlink r:id="rId7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an explanation that sets forth the reasons for the </w:t>
      </w:r>
      <w:hyperlink r:id="rId7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belief that the billing error alleged by the </w:t>
      </w:r>
      <w:hyperlink r:id="rId7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is incorrect in whole or in part;</w:t>
      </w:r>
    </w:p>
    <w:p w14:paraId="30922BAA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Furnish copies of documentary evidence of the </w:t>
      </w:r>
      <w:hyperlink r:id="rId7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indebtedness, if the </w:t>
      </w:r>
      <w:hyperlink r:id="rId7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so requests; and</w:t>
      </w:r>
    </w:p>
    <w:p w14:paraId="72A1F49E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(3)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If a different billing error occurred, correct the billing error and credit the </w:t>
      </w:r>
      <w:hyperlink r:id="rId7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account with any disputed </w:t>
      </w:r>
      <w:hyperlink r:id="rId7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and related finance or other charges, as applicable.</w:t>
      </w:r>
    </w:p>
    <w:p w14:paraId="4A3245C3" w14:textId="77777777" w:rsidR="0086378C" w:rsidRPr="0086378C" w:rsidRDefault="0086378C" w:rsidP="008637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(g)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Creditor's rights and duties after resolution.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If a </w:t>
      </w:r>
      <w:hyperlink r:id="rId8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, after complying with all of the </w:t>
      </w:r>
      <w:hyperlink r:id="rId8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requirements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this section, determines that a </w:t>
      </w:r>
      <w:hyperlink r:id="rId8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owes all or part of the disputed </w:t>
      </w:r>
      <w:hyperlink r:id="rId8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and related finance or other charges, the creditor:</w:t>
      </w:r>
    </w:p>
    <w:p w14:paraId="05AB2721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Shall promptly notify the </w:t>
      </w:r>
      <w:hyperlink r:id="rId8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in writing of the time when payment is due and the portion of the disputed </w:t>
      </w:r>
      <w:hyperlink r:id="rId8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and related finance or other charges that the </w:t>
      </w:r>
      <w:hyperlink r:id="rId8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still owes;</w:t>
      </w:r>
    </w:p>
    <w:p w14:paraId="1208D5F0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Shall allow any time period disclosed under </w:t>
      </w:r>
      <w:hyperlink r:id="rId87" w:anchor="a_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§ 1026.6(a)(1)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(b)(2)(v), as applicable, and </w:t>
      </w:r>
      <w:hyperlink r:id="rId88" w:anchor="a_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§ 1026.7(a)(8)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(b)(8), as applicable, during which the </w:t>
      </w:r>
      <w:hyperlink r:id="rId8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can pay the </w:t>
      </w:r>
      <w:hyperlink r:id="rId9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due under </w:t>
      </w:r>
      <w:hyperlink r:id="rId91" w:anchor="g_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paragraph (g)(1)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this section without incurring additional finance or other charges;</w:t>
      </w:r>
    </w:p>
    <w:p w14:paraId="78040D75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lastRenderedPageBreak/>
        <w:t>(3)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May report an account or </w:t>
      </w:r>
      <w:hyperlink r:id="rId9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as delinquent because the </w:t>
      </w:r>
      <w:hyperlink r:id="rId9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due under </w:t>
      </w:r>
      <w:hyperlink r:id="rId94" w:anchor="g_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paragraph (g)(1)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this section remains unpaid after the </w:t>
      </w:r>
      <w:hyperlink r:id="rId9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has allowed any time period disclosed under § 1026.6(a)(1) or (b)(2)(v), as applicable, and § 1026.7(a)(8) or (b)(8), as applicable or 10 days (whichever is longer) during which the </w:t>
      </w:r>
      <w:hyperlink r:id="rId9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can pay the </w:t>
      </w:r>
      <w:hyperlink r:id="rId9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; but</w:t>
      </w:r>
    </w:p>
    <w:p w14:paraId="4E854753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(4)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May not report that an </w:t>
      </w:r>
      <w:hyperlink r:id="rId9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account is delinquent because the </w:t>
      </w:r>
      <w:hyperlink r:id="rId9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due under paragraph (g)(1) of the section remains unpaid, if the </w:t>
      </w:r>
      <w:hyperlink r:id="rId10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receives (within the time allowed for payment in </w:t>
      </w:r>
      <w:hyperlink r:id="rId101" w:anchor="g_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paragraph (g)(3)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this section) further written notice from the </w:t>
      </w:r>
      <w:hyperlink r:id="rId10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that any portion of the billing error is still in dispute, unless the </w:t>
      </w:r>
      <w:hyperlink r:id="rId10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also:</w:t>
      </w:r>
    </w:p>
    <w:p w14:paraId="6A0E24E0" w14:textId="77777777" w:rsidR="0086378C" w:rsidRPr="0086378C" w:rsidRDefault="0086378C" w:rsidP="0086378C">
      <w:pPr>
        <w:shd w:val="clear" w:color="auto" w:fill="FFFFFF"/>
        <w:spacing w:after="150" w:line="240" w:lineRule="auto"/>
        <w:ind w:left="4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</w:t>
      </w:r>
      <w:proofErr w:type="spellStart"/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i</w:t>
      </w:r>
      <w:proofErr w:type="spellEnd"/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Promptly reports that the </w:t>
      </w:r>
      <w:hyperlink r:id="rId10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amount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or account is in dispute;</w:t>
      </w:r>
    </w:p>
    <w:p w14:paraId="3BA98A87" w14:textId="77777777" w:rsidR="0086378C" w:rsidRPr="0086378C" w:rsidRDefault="0086378C" w:rsidP="0086378C">
      <w:pPr>
        <w:shd w:val="clear" w:color="auto" w:fill="FFFFFF"/>
        <w:spacing w:after="150" w:line="240" w:lineRule="auto"/>
        <w:ind w:left="4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(ii)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Mails or delivers to the </w:t>
      </w:r>
      <w:hyperlink r:id="rId10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(at the same time the report is made) a written notice of the name and address of each </w:t>
      </w:r>
      <w:hyperlink r:id="rId10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person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to whom the </w:t>
      </w:r>
      <w:hyperlink r:id="rId10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makes a report; and</w:t>
      </w:r>
    </w:p>
    <w:p w14:paraId="72343F1F" w14:textId="77777777" w:rsidR="0086378C" w:rsidRPr="0086378C" w:rsidRDefault="0086378C" w:rsidP="0086378C">
      <w:pPr>
        <w:shd w:val="clear" w:color="auto" w:fill="FFFFFF"/>
        <w:spacing w:after="150" w:line="240" w:lineRule="auto"/>
        <w:ind w:left="4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(iii)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Promptly reports any subsequent resolution of the reported delinquency to all </w:t>
      </w:r>
      <w:hyperlink r:id="rId10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persons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to whom the </w:t>
      </w:r>
      <w:hyperlink r:id="rId10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has made a report.</w:t>
      </w:r>
    </w:p>
    <w:p w14:paraId="59667F8C" w14:textId="77777777" w:rsidR="0086378C" w:rsidRPr="0086378C" w:rsidRDefault="0086378C" w:rsidP="008637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(h)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Reassertion of billing error.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 </w:t>
      </w:r>
      <w:hyperlink r:id="rId11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that has fully complied with the </w:t>
      </w:r>
      <w:hyperlink r:id="rId11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requirements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this section has no further responsibilities under this section (other than as provided in </w:t>
      </w:r>
      <w:hyperlink r:id="rId112" w:anchor="g_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paragraph (g)(4)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this section) if a </w:t>
      </w:r>
      <w:hyperlink r:id="rId11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reasserts substantially the same billing error.</w:t>
      </w:r>
    </w:p>
    <w:p w14:paraId="4C37FE4B" w14:textId="77777777" w:rsidR="0086378C" w:rsidRPr="0086378C" w:rsidRDefault="0086378C" w:rsidP="008637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</w:t>
      </w:r>
      <w:proofErr w:type="spellStart"/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i</w:t>
      </w:r>
      <w:proofErr w:type="spellEnd"/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Relation to </w:t>
      </w:r>
      <w:hyperlink r:id="rId114" w:history="1">
        <w:r w:rsidRPr="0086378C">
          <w:rPr>
            <w:rFonts w:ascii="Verdana" w:eastAsia="Times New Roman" w:hAnsi="Verdana" w:cs="Times New Roman"/>
            <w:b/>
            <w:bCs/>
            <w:i/>
            <w:iCs/>
            <w:color w:val="0068AC"/>
            <w:sz w:val="24"/>
            <w:szCs w:val="24"/>
            <w:u w:val="single"/>
          </w:rPr>
          <w:t>Electronic Fund Transfer Act</w:t>
        </w:r>
      </w:hyperlink>
      <w:r w:rsidRPr="0086378C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 and Regulation E.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 </w:t>
      </w:r>
      <w:hyperlink r:id="rId11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creditor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shall comply with the </w:t>
      </w:r>
      <w:hyperlink r:id="rId11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requirements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of Regulation E, </w:t>
      </w:r>
      <w:hyperlink r:id="rId117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12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CFR </w:t>
      </w:r>
      <w:hyperlink r:id="rId118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1005.11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, and </w:t>
      </w:r>
      <w:hyperlink r:id="rId119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1005.18(e)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as applicable, governing error resolution rather than those of paragraphs (a), (b), (c), (e), (f), and (h) of this section if:</w:t>
      </w:r>
    </w:p>
    <w:p w14:paraId="1B235452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Except with respect to a prepaid account as defined in </w:t>
      </w:r>
      <w:hyperlink r:id="rId120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§ 1026.61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, an extension of credit that is incident to an electronic fund transfer occurs under an agreement between the </w:t>
      </w:r>
      <w:hyperlink r:id="rId121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and a financial institution to extend credit when the </w:t>
      </w:r>
      <w:hyperlink r:id="rId122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account is overdrawn or to maintain a specified minimum balance in the </w:t>
      </w:r>
      <w:hyperlink r:id="rId123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consumer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's account; or</w:t>
      </w:r>
    </w:p>
    <w:p w14:paraId="356695CC" w14:textId="77777777" w:rsidR="0086378C" w:rsidRPr="0086378C" w:rsidRDefault="0086378C" w:rsidP="0086378C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 With regard to a covered separate credit feature and an asset feature of a prepaid account where both are accessible by a hybrid prepaid-credit card as defined in </w:t>
      </w:r>
      <w:hyperlink r:id="rId124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§ 1026.61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, an extension of credit that is incident to an electronic fund transfer occurs when the hybrid prepaid-credit card accesses both funds in the asset feature of the prepaid account and a credit extension from the credit feature with respect to a particular transaction.</w:t>
      </w:r>
    </w:p>
    <w:p w14:paraId="3B8D7BF1" w14:textId="77777777" w:rsidR="0086378C" w:rsidRPr="0086378C" w:rsidRDefault="0086378C" w:rsidP="008637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[</w:t>
      </w:r>
      <w:hyperlink r:id="rId125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76 FR 79772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, Dec. 22, 2011, as amended at </w:t>
      </w:r>
      <w:hyperlink r:id="rId126" w:history="1">
        <w:r w:rsidRPr="0086378C">
          <w:rPr>
            <w:rFonts w:ascii="Verdana" w:eastAsia="Times New Roman" w:hAnsi="Verdana" w:cs="Times New Roman"/>
            <w:color w:val="0068AC"/>
            <w:sz w:val="24"/>
            <w:szCs w:val="24"/>
            <w:u w:val="single"/>
          </w:rPr>
          <w:t>81 FR 84369</w:t>
        </w:r>
      </w:hyperlink>
      <w:r w:rsidRPr="0086378C">
        <w:rPr>
          <w:rFonts w:ascii="Verdana" w:eastAsia="Times New Roman" w:hAnsi="Verdana" w:cs="Times New Roman"/>
          <w:color w:val="333333"/>
          <w:sz w:val="24"/>
          <w:szCs w:val="24"/>
        </w:rPr>
        <w:t>, Nov. 22, 2016]</w:t>
      </w:r>
    </w:p>
    <w:p w14:paraId="023C3FEB" w14:textId="77777777" w:rsidR="0086378C" w:rsidRDefault="0086378C"/>
    <w:sectPr w:rsidR="0086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8C"/>
    <w:rsid w:val="005448F5"/>
    <w:rsid w:val="008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9491"/>
  <w15:chartTrackingRefBased/>
  <w15:docId w15:val="{F360887D-15EE-4126-B836-7EF3CAC7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umxml">
    <w:name w:val="enumxml"/>
    <w:basedOn w:val="DefaultParagraphFont"/>
    <w:rsid w:val="0086378C"/>
  </w:style>
  <w:style w:type="character" w:customStyle="1" w:styleId="et03">
    <w:name w:val="et03"/>
    <w:basedOn w:val="DefaultParagraphFont"/>
    <w:rsid w:val="0086378C"/>
  </w:style>
  <w:style w:type="paragraph" w:customStyle="1" w:styleId="psection-1">
    <w:name w:val="psection-1"/>
    <w:basedOn w:val="Normal"/>
    <w:rsid w:val="0086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2">
    <w:name w:val="psection-2"/>
    <w:basedOn w:val="Normal"/>
    <w:rsid w:val="0086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378C"/>
    <w:rPr>
      <w:color w:val="0000FF"/>
      <w:u w:val="single"/>
    </w:rPr>
  </w:style>
  <w:style w:type="paragraph" w:customStyle="1" w:styleId="psection-3">
    <w:name w:val="psection-3"/>
    <w:basedOn w:val="Normal"/>
    <w:rsid w:val="0086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117" Type="http://schemas.openxmlformats.org/officeDocument/2006/relationships/hyperlink" Target="https://www.law.cornell.edu/cfr/text/12" TargetMode="External"/><Relationship Id="rId21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42" Type="http://schemas.openxmlformats.org/officeDocument/2006/relationships/hyperlink" Target="https://www.law.cornell.edu/definitions/index.php?width=840&amp;height=800&amp;iframe=true&amp;def_id=00b765223877993a5fc8e45a9147d884&amp;term_occur=999&amp;term_src=Title:12:Chapter:X:Part:1026:Subpart:B:1026.13" TargetMode="External"/><Relationship Id="rId47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63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68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84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89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12" Type="http://schemas.openxmlformats.org/officeDocument/2006/relationships/hyperlink" Target="https://www.law.cornell.edu/cfr/text/12/1026.13" TargetMode="External"/><Relationship Id="rId16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07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11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32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37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53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58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74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79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102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23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www.law.cornell.edu/definitions/index.php?width=840&amp;height=800&amp;iframe=true&amp;def_id=a7cd5cbfb06cff82ef477dcce321dbdb&amp;term_occur=999&amp;term_src=Title:12:Chapter:X:Part:1026:Subpart:B:1026.13" TargetMode="External"/><Relationship Id="rId90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95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19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14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22" Type="http://schemas.openxmlformats.org/officeDocument/2006/relationships/hyperlink" Target="https://www.law.cornell.edu/definitions/index.php?width=840&amp;height=800&amp;iframe=true&amp;def_id=4c3ca972e79c029c2c738f5af590d267&amp;term_occur=999&amp;term_src=Title:12:Chapter:X:Part:1026:Subpart:B:1026.13" TargetMode="External"/><Relationship Id="rId27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30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35" Type="http://schemas.openxmlformats.org/officeDocument/2006/relationships/hyperlink" Target="https://www.law.cornell.edu/definitions/index.php?width=840&amp;height=800&amp;iframe=true&amp;def_id=4c3ca972e79c029c2c738f5af590d267&amp;term_occur=999&amp;term_src=Title:12:Chapter:X:Part:1026:Subpart:B:1026.13" TargetMode="External"/><Relationship Id="rId43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48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56" Type="http://schemas.openxmlformats.org/officeDocument/2006/relationships/hyperlink" Target="https://www.law.cornell.edu/uscode/text/15/1666" TargetMode="External"/><Relationship Id="rId64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69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77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00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105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13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18" Type="http://schemas.openxmlformats.org/officeDocument/2006/relationships/hyperlink" Target="https://www.law.cornell.edu/cfr/text/12/1005.11" TargetMode="External"/><Relationship Id="rId126" Type="http://schemas.openxmlformats.org/officeDocument/2006/relationships/hyperlink" Target="https://www.law.cornell.edu/rio/citation/81_FR_84369" TargetMode="External"/><Relationship Id="rId8" Type="http://schemas.openxmlformats.org/officeDocument/2006/relationships/hyperlink" Target="https://www.law.cornell.edu/definitions/index.php?width=840&amp;height=800&amp;iframe=true&amp;def_id=091a2362184eafc02c5973f1518779dd&amp;term_occur=999&amp;term_src=Title:12:Chapter:X:Part:1026:Subpart:B:1026.13" TargetMode="External"/><Relationship Id="rId51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72" Type="http://schemas.openxmlformats.org/officeDocument/2006/relationships/hyperlink" Target="https://www.law.cornell.edu/cfr/text/12/1026.13" TargetMode="External"/><Relationship Id="rId80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85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93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98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121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7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25" Type="http://schemas.openxmlformats.org/officeDocument/2006/relationships/hyperlink" Target="https://www.law.cornell.edu/cfr/text/12/1026.7" TargetMode="External"/><Relationship Id="rId33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38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46" Type="http://schemas.openxmlformats.org/officeDocument/2006/relationships/hyperlink" Target="https://www.law.cornell.edu/definitions/index.php?width=840&amp;height=800&amp;iframe=true&amp;def_id=a7cd5cbfb06cff82ef477dcce321dbdb&amp;term_occur=999&amp;term_src=Title:12:Chapter:X:Part:1026:Subpart:B:1026.13" TargetMode="External"/><Relationship Id="rId59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67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03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108" Type="http://schemas.openxmlformats.org/officeDocument/2006/relationships/hyperlink" Target="https://www.law.cornell.edu/definitions/index.php?width=840&amp;height=800&amp;iframe=true&amp;def_id=a7cd5cbfb06cff82ef477dcce321dbdb&amp;term_occur=999&amp;term_src=Title:12:Chapter:X:Part:1026:Subpart:B:1026.13" TargetMode="External"/><Relationship Id="rId116" Type="http://schemas.openxmlformats.org/officeDocument/2006/relationships/hyperlink" Target="https://www.law.cornell.edu/definitions/index.php?width=840&amp;height=800&amp;iframe=true&amp;def_id=2476c0481267cbd73ff7250de5e9cdf6&amp;term_occur=999&amp;term_src=Title:12:Chapter:X:Part:1026:Subpart:B:1026.13" TargetMode="External"/><Relationship Id="rId124" Type="http://schemas.openxmlformats.org/officeDocument/2006/relationships/hyperlink" Target="https://www.law.cornell.edu/cfr/text/12/1026.61" TargetMode="External"/><Relationship Id="rId20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41" Type="http://schemas.openxmlformats.org/officeDocument/2006/relationships/hyperlink" Target="https://www.law.cornell.edu/definitions/index.php?width=840&amp;height=800&amp;iframe=true&amp;def_id=044c0bf0e24189eeafd08d47e27c8cd1&amp;term_occur=999&amp;term_src=Title:12:Chapter:X:Part:1026:Subpart:B:1026.13" TargetMode="External"/><Relationship Id="rId54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62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70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75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83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88" Type="http://schemas.openxmlformats.org/officeDocument/2006/relationships/hyperlink" Target="https://www.law.cornell.edu/cfr/text/12/1026.7" TargetMode="External"/><Relationship Id="rId91" Type="http://schemas.openxmlformats.org/officeDocument/2006/relationships/hyperlink" Target="https://www.law.cornell.edu/cfr/text/12/1026.13" TargetMode="External"/><Relationship Id="rId96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11" Type="http://schemas.openxmlformats.org/officeDocument/2006/relationships/hyperlink" Target="https://www.law.cornell.edu/definitions/index.php?width=840&amp;height=800&amp;iframe=true&amp;def_id=2476c0481267cbd73ff7250de5e9cdf6&amp;term_occur=999&amp;term_src=Title:12:Chapter:X:Part:1026:Subpart:B:1026.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5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23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28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36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49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57" Type="http://schemas.openxmlformats.org/officeDocument/2006/relationships/hyperlink" Target="https://www.law.cornell.edu/definitions/index.php?width=840&amp;height=800&amp;iframe=true&amp;def_id=2476c0481267cbd73ff7250de5e9cdf6&amp;term_occur=999&amp;term_src=Title:12:Chapter:X:Part:1026:Subpart:B:1026.13" TargetMode="External"/><Relationship Id="rId106" Type="http://schemas.openxmlformats.org/officeDocument/2006/relationships/hyperlink" Target="https://www.law.cornell.edu/definitions/index.php?width=840&amp;height=800&amp;iframe=true&amp;def_id=a7cd5cbfb06cff82ef477dcce321dbdb&amp;term_occur=999&amp;term_src=Title:12:Chapter:X:Part:1026:Subpart:B:1026.13" TargetMode="External"/><Relationship Id="rId114" Type="http://schemas.openxmlformats.org/officeDocument/2006/relationships/hyperlink" Target="https://www.law.cornell.edu/topn/electronic_fund_transfer_act" TargetMode="External"/><Relationship Id="rId119" Type="http://schemas.openxmlformats.org/officeDocument/2006/relationships/hyperlink" Target="https://www.law.cornell.edu/cfr/text/12/1005.18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law.cornell.edu/cfr/text/12/1026.7" TargetMode="External"/><Relationship Id="rId31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44" Type="http://schemas.openxmlformats.org/officeDocument/2006/relationships/hyperlink" Target="https://www.law.cornell.edu/definitions/index.php?width=840&amp;height=800&amp;iframe=true&amp;def_id=8ccd3125c0a78e1f50101c8e5efdebf4&amp;term_occur=999&amp;term_src=Title:12:Chapter:X:Part:1026:Subpart:B:1026.13" TargetMode="External"/><Relationship Id="rId52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60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65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73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78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81" Type="http://schemas.openxmlformats.org/officeDocument/2006/relationships/hyperlink" Target="https://www.law.cornell.edu/definitions/index.php?width=840&amp;height=800&amp;iframe=true&amp;def_id=2476c0481267cbd73ff7250de5e9cdf6&amp;term_occur=999&amp;term_src=Title:12:Chapter:X:Part:1026:Subpart:B:1026.13" TargetMode="External"/><Relationship Id="rId86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94" Type="http://schemas.openxmlformats.org/officeDocument/2006/relationships/hyperlink" Target="https://www.law.cornell.edu/cfr/text/12/1026.13" TargetMode="External"/><Relationship Id="rId99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101" Type="http://schemas.openxmlformats.org/officeDocument/2006/relationships/hyperlink" Target="https://www.law.cornell.edu/cfr/text/12/1026.13" TargetMode="External"/><Relationship Id="rId122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4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9" Type="http://schemas.openxmlformats.org/officeDocument/2006/relationships/hyperlink" Target="https://www.law.cornell.edu/definitions/index.php?width=840&amp;height=800&amp;iframe=true&amp;def_id=2476c0481267cbd73ff7250de5e9cdf6&amp;term_occur=999&amp;term_src=Title:12:Chapter:X:Part:1026:Subpart:B:1026.13" TargetMode="External"/><Relationship Id="rId13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18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39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109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34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50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55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76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97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104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120" Type="http://schemas.openxmlformats.org/officeDocument/2006/relationships/hyperlink" Target="https://www.law.cornell.edu/cfr/text/12/1026.61" TargetMode="External"/><Relationship Id="rId125" Type="http://schemas.openxmlformats.org/officeDocument/2006/relationships/hyperlink" Target="https://www.law.cornell.edu/rio/citation/76_FR_79772" TargetMode="External"/><Relationship Id="rId7" Type="http://schemas.openxmlformats.org/officeDocument/2006/relationships/hyperlink" Target="https://www.law.cornell.edu/definitions/index.php?width=840&amp;height=800&amp;iframe=true&amp;def_id=044c0bf0e24189eeafd08d47e27c8cd1&amp;term_occur=999&amp;term_src=Title:12:Chapter:X:Part:1026:Subpart:B:1026.13" TargetMode="External"/><Relationship Id="rId71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92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Relationship Id="rId24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40" Type="http://schemas.openxmlformats.org/officeDocument/2006/relationships/hyperlink" Target="https://www.law.cornell.edu/definitions/index.php?width=840&amp;height=800&amp;iframe=true&amp;def_id=00b765223877993a5fc8e45a9147d884&amp;term_occur=999&amp;term_src=Title:12:Chapter:X:Part:1026:Subpart:B:1026.13" TargetMode="External"/><Relationship Id="rId45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66" Type="http://schemas.openxmlformats.org/officeDocument/2006/relationships/hyperlink" Target="https://www.law.cornell.edu/cfr/text/12/1026.13" TargetMode="External"/><Relationship Id="rId87" Type="http://schemas.openxmlformats.org/officeDocument/2006/relationships/hyperlink" Target="https://www.law.cornell.edu/cfr/text/12/1026.6" TargetMode="External"/><Relationship Id="rId110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115" Type="http://schemas.openxmlformats.org/officeDocument/2006/relationships/hyperlink" Target="https://www.law.cornell.edu/definitions/index.php?width=840&amp;height=800&amp;iframe=true&amp;def_id=ec774c8c884dca83d805273f461bed3b&amp;term_occur=999&amp;term_src=Title:12:Chapter:X:Part:1026:Subpart:B:1026.13" TargetMode="External"/><Relationship Id="rId61" Type="http://schemas.openxmlformats.org/officeDocument/2006/relationships/hyperlink" Target="https://www.law.cornell.edu/definitions/index.php?width=840&amp;height=800&amp;iframe=true&amp;def_id=5ae7548b119d954859f58c75c7bc1ebb&amp;term_occur=999&amp;term_src=Title:12:Chapter:X:Part:1026:Subpart:B:1026.13" TargetMode="External"/><Relationship Id="rId82" Type="http://schemas.openxmlformats.org/officeDocument/2006/relationships/hyperlink" Target="https://www.law.cornell.edu/definitions/index.php?width=840&amp;height=800&amp;iframe=true&amp;def_id=f1bfd02c4198ad3fe55e24cc6d865ca3&amp;term_occur=999&amp;term_src=Title:12:Chapter:X:Part:1026:Subpart:B:1026.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Holzbaur</dc:creator>
  <cp:keywords/>
  <dc:description/>
  <cp:lastModifiedBy>Erik Holzbaur</cp:lastModifiedBy>
  <cp:revision>1</cp:revision>
  <dcterms:created xsi:type="dcterms:W3CDTF">2022-05-11T16:24:00Z</dcterms:created>
  <dcterms:modified xsi:type="dcterms:W3CDTF">2022-05-11T16:30:00Z</dcterms:modified>
</cp:coreProperties>
</file>